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2022年度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淮安生物工程高等职业学校</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部门预算公开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eastAsia="仿宋" w:cs="仿宋"/>
          <w:b/>
        </w:rPr>
        <w:t>部门预算表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淮安生物工程高等职业学校（江苏联合职业技术学院淮安生物工程分院）地处全国历史文化名城、周恩来总理故乡----江苏淮安，是一所公办全日制国家级重点学校，国家职教改革发展示范学校、江苏省高水平示范职业学校、江苏省技能型紧缺人才培养培训基地、淮安市赴日本研修生派遣基地，是教育部、人事部、科技部、农业部评定的全国教育系统先进集体、全国科技特派员工作先进集体、全国农村成人教育先进学校、国家农牧渔业丰收奖获奖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学校现占地434亩，建筑面积28万平方米，在校生6500余人，编制数242人，教职工在职在编人数234人，人事代理人数51人，离退休84人。在编制预算时严格遵守预算编审管理制度，对学校的收支进行科学的分析，首先确保人员经费支出，对人员经费做到与人社部门审批一致，做好人员增减相对的经费变动，确保人员经费准确无误；其次根据学校实际支出需要，结合学生收费收入及财政补助收入的盘子，在项目支出中，先保必需项目，再有空余的情况下，对校园建设发展再做安排。在编制过程中坚持以服务为宗旨，实际为导向，尽全力做好这项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ascii="仿宋" w:hAnsi="仿宋" w:eastAsia="仿宋" w:cs="仿宋"/>
        </w:rPr>
        <w:t>本部门内设机构包括：本部门内设机构包括植物工程系、动物工程系、机电工程系、计算机工程系、经济贸易系、汽车工程系和基础课部等六系一部，另设南京农业大学、扬州大学、南京晓庄学院本专科函授站和北京科技大学远程教育学院淮安学习中心。开设大中专专业20个，与淮阴工学院、淮阴师范学院3+4本科分段培养专业3个：果蔬花卉生产技术、汽车运用与维修、计算机应用。其中园艺技术、汽车运用专业为省品牌专业，畜牧兽医专业为省特色专业；园艺技术、畜牧兽医、机电一体化技术、会计与审计四个专业为联合学院重点专业；主要专业均为市重点或品牌专业。商务日语专业与友好学校日本安城农林高校深入合作，特聘日籍教师任教；软件技术专业与印度国家信息技术学院（NIIT）合作办学，印度专家主讲。学校现建有园艺、牧医、机电、汽车、会计、计算机六大实训中心，产学研一体化基地7个，校内合作工厂5个，设施齐全，功能先进。园艺技术、畜禽标准化生产、农机运用和维修三个实训基地为省高水平示范性基地。全校所有教室全部配备高标准多媒体教学设备，各专业还建有多家校外实习基地，校内设有国家职业技能鉴定站、省会计职业资格考试中心、省计算机信息高新技术智能化考试站。完备的教学与实训设施为学生理论实践相结合，提高实际工作能力，迅速走上工作岗位提供了可靠保证。（注：本部门无下属单位）学校创建于1908年，坐落在周恩来纪念馆西1.5公里、淮安里运河文化长廊南侧，占地434亩，学校拥有一支爱岗敬业、结构合理、专业水平高、创新意识强的教师队伍。教职员工300多人，教授7人，副高级职称67人，博士7人；专任教师中中高级职称占78%，双师型教师比例占专任教师77%以上，具有研究生学历、硕士及以上学位的占43%以上。多名教师获得国家和省市表彰，其中中国职教名师1人，省职教先进个人、优秀教育工作者、青蓝工程培养对象、国内高校访问学者4人，省职教教研中心组成员4人，市有突出贡献中青年专家、专业带头人、课改负责人22人。本部门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ascii="仿宋" w:hAnsi="仿宋" w:eastAsia="仿宋" w:cs="仿宋"/>
        </w:rPr>
        <w:t>1</w:t>
      </w:r>
      <w:r>
        <w:rPr>
          <w:rFonts w:hint="eastAsia" w:ascii="仿宋" w:hAnsi="仿宋" w:eastAsia="仿宋" w:cs="仿宋"/>
        </w:rPr>
        <w:t>家，具体包括：</w:t>
      </w:r>
      <w:r>
        <w:rPr>
          <w:rFonts w:ascii="仿宋" w:hAnsi="仿宋" w:eastAsia="仿宋" w:cs="仿宋"/>
        </w:rPr>
        <w:t>淮安生物工程高等职业学校（本级）。</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eastAsia="仿宋" w:cs="仿宋"/>
          <w:b/>
        </w:rPr>
        <w:t>部门主要工作任务及目标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（一）加强党的建设，打造坚强领导核心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1.加强领导班子建设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坚持党对学校各项工作的领导，始终把党的政治建设摆在首位。落实“一岗双责”，严明政治纪律和政治规矩，涵养积极健康的党内政治文化，加快构建风清气正良好政治生态，形成“头雁效应”，合力打造政治坚定、躬身实干、团结协作、作风过硬、清正廉洁的党委班子，提高办学治校能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2.加强干部队伍建设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进一步强化干事创业鲜明导向，严格干部选拔任用过程管理，多措并举促进干部成长，提升干部队伍整体素质。制定“十四五”干部队伍建设规划，改善中层干部的学历结构和职称结构，注重后备干部的选拔培养，强化干部培训工作，推进干部教育培训制度化、规范化。完善职称评聘办法，修订完善绩效工资分配办法，提升绩效考核管理水平。</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3.加强党风廉政建设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持之以恒落实中央八项规定精神，认真抓好《中国共产党问责条例》贯彻执行，深化形式主义、官僚主义集中整治，严查不担当、不作为、慢作为。不断创新监督方式，强化对重点权力运行情况的监督制约，运用“四种形态”，抓早抓小、防微杜渐。加强反腐倡廉宣传教育和廉政文化建设，大力弘扬中华优秀传统文化，用好正反面典型，不断增强不想腐的自觉。</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（二）坚持立德树人，提高人才培养质量</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1.提高学生思想道德素质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落实“六个一”行动，开展“三全育人”综合改革试点，构建全员、全过程、全方位的“三全”育人格局。开展“六个一”养成教育典型案例征集及文明风采活动，培育1个省级名班主任工作室，创建1个省级德育特色案例，创建1个省级思想政治课教学创新团队、1个省级思想政治课示范课堂、1个省级课程思政教育案例。加强党史、新中国史、改革开放史、社会主义发展史教育和爱国主义、集体主义、社会主义教育。从企业中聘请劳动模范、技术能手、大国工匠、道德楷模担任兼职德育导师，建设一支阅历丰富、有亲和力、身正为范的兼职德育工作队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2.加强学生文化素质教育</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突出培育职业素养和塑造工匠精神，将人文素养和职业素质教育纳入人才培养方案，将人文素质教育融于日常教学中。突出养成教育，重视心理健康教育，深化体育艺术教育，培养学生良好品质习惯。加强文化活动基地建设，开展丰富多彩的校园文化活动。加强学生社团建设，积极组织开展文明风采系列活动。开展劳动教育，传承农耕文化，在校内建设农耕文化园，建设职业素养培育实践基地，为学生提供农耕文化体验场所，体现文化育人作用。创建良好的校园文化环境，以浓厚的文化气息，引导学生求知求索，升华情感。</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3.培养学生创新创业能力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建立创新创业教育体系，把创新创业教育融入人才培养全过程。针对学生特点，建立创新创业活动和培训体系，培养学生的创新创业精神和意识。以学校创业孵化基地为载体，建设创业体验中心，为学生开展创业实践提供平台。组织开展学生创新创业大赛，提高创新创业的能力，促进学生可持续发展。通过组织多种形式的模拟创业，举办创业有成者的典型案例教学和报告会等活动，帮助学生学习创业知识，培养创业意识和创业能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（三）加强专业建设，服务地方产业发展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1.优化专业结构布局</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建立专业结构动态调整机制，提高职业教育的适应性。进一步加强专业群建设，促使人才培养链和产业链紧密衔接，探索开展按照专业群招生工作。抓住乡村振兴战略实施契机，主动对接大运河文化带、淮河生态经济带等重大区域协调发展战略，围绕淮安“稻米、蔬菜、龙虾、生猪、家禽和种业”六大主导产业以及“食用菌、中药材和休闲农业”三大成长型产业体系建设，在保持学校传统优势专业基础上，开发农产品加工与质量检测、现代农业技术、风景园林设计、园林工程技术、动物医学、宠物医疗技术、农村电子商务等相关涉农专业，围绕淮安产业结构现状丰富专业覆盖范围，开发电梯工程技术、智能控制技术、移动互联应用技术、虚拟现实技术应用、新能源汽车检测维修技术等相关专业。重点发展园林技术、畜牧兽医等种养殖类专业，创建5个省级优质专业,建成2个具有五年制鲜明特色的示范性专业集群。</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2.改革人才培养模式</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全面推进实施性人才培养方案、课程教学要求等教学标准开发工作，不断完善校企合作、工学结合、顶岗实习的人才培养模式，开展“岗课赛证融通”的人才培养模式改革，全面推行现代学徒制和新型学徒制，深入推进1+X证书试点，将职业技能等级证书培训内容有机融入专业人才培养方案。推行学分制，开展学分银行试点，结合1+X证书试点，研制学习成果转换办法，探索职业技能等级证书与学历证书之间的课程融通和学分互换。鼓励教师团队对接职业标准和工作过程，探索分工协作的模块化教学组织方式。</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3.推进课程改革与建设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推进习近平新时代中国特色社会主义思想进课堂、进教材，将职业道德教育、人文素养教育、创新创业教育、劳动教育贯穿人才培养全过程，将耕读教育相关课程作为涉农专业学生必修课。集中力量对省市级、校级重点建设课程进行立项研究，实现专业群主干专业精品课程全覆盖。根据学生特点创新教材形态，开发形式多样的新型活页式、工作手册式、融合现代信息技术的新形态教材，开发校企双元合作的职业教育规划教材。实施“职业教育服务终身学习质量提升行动”，创建30门左右在线精品课程。推动“课堂革命”，积极实施行动导向教学，推广线上线下混合式教学、理实一体教学等新型教学模式。综合运用探究式、讨论式、参与式等教学方法，灵活采取项目教学、情境教学、案例教学等教学方式，切实提升教学效果，形成一批教学创新案例，创建1个省级职业教育“课堂革命”典型案例。</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（四）引进培养并重，打造一流师资队伍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1.加强师德师风建设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按“四有好老师”等师德建设标准加强新时代师德师风建设，完善师德教育、监督、考核及奖惩制度，开展以“立师德、铸师魂、正师风”为主题的师德师风教育活动。完善激励机制，大力表彰奖励师德楷模，宣传师德典型，讲好师德故事，弘扬正气，并将师德考核结果作为教师聘任、晋升、奖惩的重要依据，实行“师德一票否决”。</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2.优化师资队伍结构</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引进高学历高职称高技能等高层次人才50人，择优引进10名技能大赛、教学大赛、班主任大赛、创新创业大赛成绩突出者,确保师生比在1：18以下。实施教师学历学位提升工程，培育在职硕士20人，引进博士3人。创建省级名师工作室2个，省级教学团队1个，新增市级以上中青年学术带头人2人。争创国家“万人计划”教学名师、国家级教师教学创新团队。加大专职思政课教师配备力度，专职思政课教师师生比逐步达到1:350。教师的学历结构、职称比例、“双师”素质等方面的要求，达到独立设置高职院的标准。</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3.提升教师队伍整体素质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以创建“名师工作室”和“教师教学创新团队”等为抓手，强化教师团队建设。分类制定教师发展规划，落实5年一轮的教师全员培训制度。开展教坛新秀、教学能手、骨干教师、专业（学科）带头人、教学名师评比活动，完善青蓝工程“传帮带”制度。在校企合作企业建立“双师型”教师培养培训基地，探索“学历教育+企业实训”的培养方法。健全“双师型”教师认定、聘用、考核等评价标准，突出实践技能水平和专业教学能力。以国家、省、市各类人才工程为依托，加大培养选送力度，培养一批在教科研方面取得突出成绩的教师，使之成为区域行业内有影响力的名师，力争进入省、市“突出贡献中青年专家”、“省333工程人才”、“省教学名师”等行列。出台《名师工作室考核管理办法》，落实经费，强化过程管理与考核，发挥名师效应，辐射带动教学团队整体提升。建立教师企业实践基地，完善教师企业实践管理办法，将企业实践经历、业绩成果等纳入评价标准。</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（五）拓展发展空间，厚实学校办学资源</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1.推进基础设施建设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开展校园整体规划设计，加快建设进度，提升设计品位，着眼打造生态校园、人文校园、典雅校园。建成创新创业实训楼、体育馆、风雨操场及内部配套设施；提升图文信息中心、动物医院、汽车实训中心、原宿舍区硬件配套设施水平，生均九项校舍建筑面积26.5㎡以上、生均学生宿舍（公寓）8㎡以上、生均教学实训用房11.3㎡以上、生均专业教学实训用房及场所8.3㎡以上、农林牧类学生生均教学实训场所5㎡以上；改造校园南北大门及校园道路，加强校园环境整治，建成湖心寺遗址公园，建设集公园、校园为一体，兼顾观赏与实习、历史与现实相融的绿色开放式校园。</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2.加强实训基地建设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加快新校区实训基地建设步伐，各专业都有满足专业教学要求的实训基地，生均占地面积60平方米以上，创建省级示范性虚拟仿真实训基地。对接区域产业群，引企入校，校企共建生产性实训基地，建设1个产教深度融合、功能有机集成、团队结构优化、管理集约高效的示范性实训平台。选择当地大型骨干企业，建立校外实训实习基地。已有实习基地进行动态调整，保证实践教学的质量和实习基地使用效果。积极推行认知实习、跟岗实习、顶岗实习等多种实习形式，强化以育人为目标的实习实训管理考核评价。</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3.推进智慧校园建设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推进智慧校园建设，建立智能化管理平台，建设覆盖日常运行各个环节的智能终端，实现各系统数据兼容共享，提升基础环境智能化水平，打造数字化校园、智慧校园。开展教师信息化教学能力全员培训，深化信息技术与教育教学、管理的融合，建立教学资源共享平台，逐步实现专业数字教育资源全覆盖。推进数字化资源库建设，开发云教材，每个专业形成3门以上核心数字化教学课程资源。拓宽信息技术在教学和管理中的应用，实现教学科研、管理服务的数字化、智能化，全面提升师生的信息素养和应用水平，创建省级职业教育信息化标杆学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（六）推进产教融合，扩大社会服务能力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1.积极探索合作办学新路径</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完善校企合作育人机制，以引企驻校、引校进企、校协联合等方式开展合作办学。围绕国际合作必须突破、台湾企校合作必须突破、市内龙头企业合作必须突破的总体要求，提高合作办学成效，与2所以上国（境）外高校建立合作关系，拓宽国际合作办学思路，满足部分学生出国交流和留学的需求。跨学校跨专业跨区域整合教学资源，与企业联合建设一批紧密对接高端产业和产业高端的产业学院。以服务地方企业为立足点，校企共建“双师型”教师培养培训基地和教师企业实践基地。加强与行业协会的交流合作，提升重点专业建设和合作办学水平。</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2.发挥“淮台集团”引领作用。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策应市委市政府“十四五”新战略，抢抓与台湾企业、学校合作的新机遇，发挥好职教集团的纽带作用，打造1个实体化运行的示范性职教集团，建设1个高水平专业化产教融合实训基地。推进企业参与办学，推动“淮台集团”高效运行，培育示范性职教集团，创建校企合作示范组合。进一步完善淮台集团章程与运行机制，探索企业集团的运作模式，试行多元投资主体依法共建职业教育集团，建立集团内部契约型的合作关系，进一步发挥淮台集团的咨询和指导等作用；积极吸收行业专家进入学术委员会和专业建设指导委员会，主动接受行业指导。</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3.打造服务“三农”品牌</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大力开展农村实用人才和高素质农民培训，逐步建成淮宿连地区农业专业门类最多的继续教育基地，年培训人次达到在校生规模的2倍，农民培训年规模稳定在5000人次以上，基层农技人员培训量在500人次以上，每年联合培养农业类全日制专科定向生100-200人。积极稳步发展涉农专业成人学历教育，创建1个省级示范性继续教育基地、5门左右优质继续教育网络课程。坚持农民培训与中高等职业教育衔接，开发1-2个成人教育合作院校，保持成教学生年规模稳定在1200人以上。对接2个新农村特色村镇作为校外实训基地，开展农村干部专业技术培训，开发特色培训教材和教学资源，创建省级乡村振兴人才培养优质校，和龙头企业联合建设示范性职工培训基地。</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主要目标：围绕创建高等职业技术学院的总体目标，至“十四五”末，全日制在校学生稳定在5000人左右，各类培训达到10000人次/年。以涉农专业为龙头，重点打造5个专业集群、5个省现代化实训基地，新增专业7个，改造专业3-5个，专业总数调整为20个。专任教师总数达到280人以上；教师年龄、学历、职称、专业结构更加合理，专任教师中“双师型”教师比例80%以上，副教授以上职称教师比例达到35%以上，其中具有正高级职称的占5%以上；硕士研究生以上学历(学位)的人数占专任教师总数的70%以上。通过五年建设，把学校建成与地方经济社会发展契合度高、具有较强竞争力的高等职业技术学院。</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师德师风水平显著提升。习近平新时代中国特色社会主义思想“进教材、进课堂、进头脑”效果显著，高校思想政治工作体系加快构建。教师队伍岗位胜任力显著提升，社会主义核心价值观引领师德建设初具成效，师德监督机制基本形成，教师服务理念、敬业精神和业务能力不断强化，基于“三全育人”的学生思想政治工作格局基本形成，争取创成省级“三全育人”综合改革试点学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教育教学水平显著提升。专业结构布局更加优化，形成以涉农专业为龙头、相关专业为支撑的特色专业群。产教融合不断深化，人才培养模式得到优化和创新，毕业生职业技能等级证书、1+X获证率达到85%以上。</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管理治理水平显著提升。以学校章程为统领的管理制度、标准不断完善，工作规程得到进一步健全，科学规范的二级管理制度体系得到强化，办学水平、人才培养质量和就业质量显著提升，创成省级优质高职学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基础设施建设水平显著提升。校园整体规划设计得到进一步优化。校内外实习实训基地建设工作得到进一步推进，200亩学生校外实训基地初具规模。数字校园规范全面落实。各类管理信息业务系统和特色应用不断优化。网络基础设施建设达到全省高职院中等水平。师生信息技术职业素养显著提高。</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淮安生物工程高等职业学校</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eastAsia="仿宋" w:cs="仿宋"/>
          <w:b/>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color w:val="000000"/>
                <w:sz w:val="22"/>
                <w:szCs w:val="22"/>
                <w:lang w:eastAsia="ar-SA"/>
              </w:rPr>
              <w:t>淮安生物工程高等职业学校</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5,009.67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7,004.00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11,069.79</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500.00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443.88</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12,013.67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12,013.67</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12,013.67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12,013.67</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淮安生物工程高等职业学校</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12,013.67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12,013.67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5,009.67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7,004.00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089</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淮安生物工程高等职业学校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12,013.67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12,013.67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5,009.67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7,004.00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089001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淮安生物工程高等职业学校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12,013.67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12,013.67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5,009.67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7,004.00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淮安生物工程高等职业学校</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12,013.67</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5,009.67</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7,004.00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11,069.79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4,565.79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6,504.00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11,069.79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4,565.79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6,504.00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中等职业教育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11,069.79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4,565.79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6,504.00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淮安生物工程高等职业学校</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5,009.67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5,009.67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5,009.67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4,565.79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443.88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5,009.67</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5,009.67</w:t>
            </w:r>
          </w:p>
        </w:tc>
      </w:tr>
    </w:tbl>
    <w:p>
      <w:pPr>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淮安生物工程高等职业学校</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5,009.67</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5,009.67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4,521.13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488.54</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4,565.79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4,565.79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4,077.25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488.54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职业教育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4,565.79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4,565.79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4,077.25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488.54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中等职业教育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4,565.79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4,565.79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4,077.25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488.54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淮安生物工程高等职业学校</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5,009.67</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4,521.13</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488.54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4,220.08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4,220.08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1,101.77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1,101.77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374.24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488.54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淮安生物工程高等职业学校</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5,009.67</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5,009.67</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4,521.13</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488.54</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4,565.79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4,565.79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4,077.25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488.54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职业教育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4,565.79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4,565.79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4,077.25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488.54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中等职业教育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4,565.79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4,565.79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4,077.25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488.54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淮安生物工程高等职业学校</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5,009.67</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4,521.13</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488.54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4,220.08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4,220.08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1,101.77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1,101.77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374.24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488.54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手续费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助学金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淮安生物工程高等职业学校</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17.27</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淮安生物工程高等职业学校</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部门无政府性基金预算，也没有使用政府性基金安排的支出，故本表无数据。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淮安生物工程高等职业学校</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注：本部门无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淮安生物工程高等职业学校</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0"/>
        </w:tabs>
        <w:spacing w:before="25" w:after="0"/>
        <w:ind w:left="-1" w:leftChars="0"/>
        <w:rPr>
          <w:rFonts w:hint="eastAsia" w:ascii="仿宋" w:hAnsi="仿宋" w:eastAsia="仿宋" w:cs="仿宋"/>
          <w:b/>
          <w:bCs/>
          <w:sz w:val="22"/>
          <w:szCs w:val="22"/>
        </w:rPr>
      </w:pP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eastAsia="仿宋" w:cs="仿宋"/>
          <w:b/>
          <w:sz w:val="22"/>
        </w:rPr>
        <w:t>部门无一般公共预算机关运行经费支出，故本表无数据。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淮安生物工程高等职业学校</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2,260.00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910.00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淮安生物工程高等职业学校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910.00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设备图书购置及智能化校园建设</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设备图书购置及智能化校园建设</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其他计算机设备及软件</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设备图书购置及智能化校园建设</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图书档案设备的零附件</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设备图书购置及智能化校园建设</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其他专用仪器仪表</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工程类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1,050.00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淮安生物工程高等职业学校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1,050.00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后勤服务及基建经费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基础设施建设</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装修工程</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后勤服务及基建经费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基础设施建设</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其他建筑工程</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淮安生物工程高等职业学校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后勤服务及基建经费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基础设施建设</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300.00</w:t>
            </w:r>
          </w:p>
        </w:tc>
      </w:tr>
    </w:tbl>
    <w:p>
      <w:pPr>
        <w:bidi w:val="0"/>
        <w:rPr>
          <w:rFonts w:hint="eastAsia" w:ascii="仿宋" w:hAnsi="仿宋" w:eastAsia="仿宋" w:cs="仿宋"/>
          <w:b/>
          <w:bCs/>
          <w:sz w:val="22"/>
          <w:szCs w:val="22"/>
        </w:rPr>
        <w:sectPr>
          <w:footerReference r:id="rId19"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eastAsia="仿宋" w:cs="仿宋"/>
          <w:b/>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淮安生物工程高等职业学校2022年度收入、支出预算总计12,013.67万元，与上年相比收、支预算总计各增加1,588.41万元，增长15.24%。</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（一）收入预算总计12,013.67万元。包括：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1．本年收入合计12,013.67万元。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（1）一般公共预算拨款收入5,009.67万元，与上年相比减少5,415.59万元，减少51.95%。主要原因是人员增加及22年专项经费略有所增加。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（4）财政专户管理资金收入7,004万元，与上年相比增加1,630.79万元，增长30.35%。主要原因是22年专项经费略有所增加。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（二）支出预算总计12,013.67万元。包括：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1．本年支出合计12,013.67万元。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（1）教育支出（类）支出11,069.79万元，主要用于教育事业费支出（即各级各类的学校的人员经费和公用经费支出）和教育基本建（建筑校舍和购置大型教学设备的费用）支出等。与上年预算数相同。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（2）农林水支出（类）支出500万元，主要用于重点发展园林技术、畜牧兽医等种养殖类专业，部级农民培训及农技员培训。与上年预算数相同。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（3）住房保障支出（类）支出443.88万元，主要用于在职人员公积金费用。与上年相比增加4.86万元，增长1.11%。主要原因是人员增加。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淮安生物工程高等职业学校2022年收入预算合计12,013.67万元，包括本年收入12,013.67万元，上年结转结余0万元。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本年一般公共预算收入5,009.67万元，占41.7%；</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本年财政专户管理资金7,004万元，占58.3%；</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淮安生物工程高等职业学校2022年支出预算合计12,013.67万元，其中：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基本支出5,009.67万元，占41.7%；</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项目支出7,004万元，占58.3%；</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淮安生物工程高等职业学校2022年度财政拨款收、支总预算5,009.67万元。与上年相比，财政拨款收、支总计各增加81.62万元，增长1.66%。主要原因是2022年度新增人员。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淮安生物工程高等职业学校2022年财政拨款预算支出5,009.67万元，占本年支出合计的41.7%。与上年相比，财政拨款支出增加81.62万元，增长1.66%。主要原因是2022年度新增人员。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（一）教育支出（类）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职业教育（款）中等职业教育（项）支出4,565.79万元，与上年相比增加76.76万元，增长1.71%。主要原因是2022年度新增人员。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住房改革支出（款）住房公积金（项）支出443.88万元，与上年相比增加4.86万元，增长1.11%。主要原因是2022年度新增人员。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淮安生物工程高等职业学校2022年度财政拨款基本支出预算5,009.67万元，其中：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4,521.13万元。主要包括：基本工资、津贴补贴、绩效工资、机关事业单位基本养老保险缴费、职业年金缴费、职工基本医疗保险缴费、其他社会保障缴费、住房公积金、离休费、退休费、生活补助、助学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488.54万元。主要包括：办公费、印刷费、咨询费、手续费、水费、电费、邮电费、差旅费、维修（护）费、会议费、培训费、公务接待费、劳务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淮安生物工程高等职业学校2022年一般公共预算财政拨款支出预算5,009.67万元，与上年相比增加520.64万元，增长11.6%。主要原因是2022年度新增人员。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淮安生物工程高等职业学校2022年度一般公共预算财政拨款基本支出预算5,009.67万元，其中：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4,521.13万元。主要包括：基本工资、津贴补贴、绩效工资、机关事业单位基本养老保险缴费、职业年金缴费、职工基本医疗保险缴费、其他社会保障缴费、住房公积金、离休费、退休费、生活补助、助学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488.54万元。主要包括：办公费、印刷费、咨询费、手续费、水费、电费、邮电费、差旅费、维修（护）费、会议费、培训费、公务接待费、劳务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度一般公共预算拨款安排的“三公”经费预算支出中，因公出国（境）费支出0万元，占“三公”经费的0%；公务用车购置及运行维护费支出13.5万元，占“三公”经费的65.85%；公务接待费支出7万元，占“三公”经费的34.15%。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2．公务用车购置及运行维护费预算支出13.5万元。其中：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（1）公务用车购置预算支出0万元，比上年预算减少45万元，主要原因是厉行节俭节约控制日常经费开支。</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（2）公务用车运行维护费预算支出13.5万元，与上年预算数相同。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3．公务接待费预算支出7万元，比上年预算增加1.61万元，主要原因是国内公务接待批次增加。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淮安生物工程高等职业学校2022年度一般公共预算拨款安排的会议费预算支出12.5万元，比上年预算增加7.31万元，主要原因是围绕教育专项会议次数加大，费用增加。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淮安生物工程高等职业学校2022年度一般公共预算拨款安排的培训费预算支出17.27万元，比上年预算增加7.95万元，主要原因是主要原因是行业管理理论不管改进和强化，相关业务管理人员需要继续教育培训。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淮安生物工程高等职业学校2022年国有资本经营预算支出0万元。与上年预算数相同。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2022年本部门一般公共预算机关运行经费预算支出0万元。与上年预算数相同。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2022年度政府采购支出预算总额2,260万元，其中：拟采购货物支出910万元、拟采购工程支出1,050万元、拟购买服务支出300万元。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有车辆6辆，其中，一般公务用车5辆、执法执勤用车0辆、特种专业技术用车0辆、业务用车0辆、其他用车1辆等。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2022年度，本部门整体支出纳入绩效目标管理，涉及四本预算资金12,013.67万元；本部门共10个项目纳入绩效目标管理，涉及四本预算资金合计7,004万元，占四本预算资金(基本支出除外)总额的比例为41.6%。</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八、教育支出(类)职业教育(款)中等职业教育(项)</w:t>
      </w:r>
      <w:r>
        <w:rPr>
          <w:rFonts w:ascii="仿宋" w:hAnsi="仿宋" w:eastAsia="仿宋" w:cs="仿宋"/>
          <w:b/>
        </w:rPr>
        <w:t>：</w:t>
      </w:r>
      <w:r>
        <w:rPr>
          <w:rFonts w:hint="eastAsia" w:ascii="仿宋" w:hAnsi="仿宋" w:eastAsia="仿宋" w:cs="仿宋"/>
        </w:rPr>
        <w:t>反映各部门（不含人力资源社会保障部门）举办的中等职业教育支出。政府各部门对社会组织等举办的中等职业学校的资助，如捐赠、补贴等，也在本科目中反映。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九、农林水支出(类)农业农村(款)科技转化与推广服务(项)</w:t>
      </w:r>
      <w:r>
        <w:rPr>
          <w:rFonts w:ascii="仿宋" w:hAnsi="仿宋" w:eastAsia="仿宋" w:cs="仿宋"/>
          <w:b/>
        </w:rPr>
        <w:t>：</w:t>
      </w:r>
      <w:r>
        <w:rPr>
          <w:rFonts w:hint="eastAsia" w:ascii="仿宋" w:hAnsi="仿宋" w:eastAsia="仿宋" w:cs="仿宋"/>
        </w:rPr>
        <w:t>反映用于农业科技成果转化，农业新品种、新机具、新技术引进、试验、示范、推广及服务，农村人居环境整治等方面的技术试验示范支出。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淮安生物工程高等职业学校</w:t>
    </w:r>
    <w:r>
      <w:t>2022年度部门预算公开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7F3818"/>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13946</Words>
  <Characters>16326</Characters>
  <Paragraphs>501</Paragraphs>
  <TotalTime>0</TotalTime>
  <ScaleCrop>false</ScaleCrop>
  <LinksUpToDate>false</LinksUpToDate>
  <CharactersWithSpaces>16509</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Administrator</cp:lastModifiedBy>
  <dcterms:modified xsi:type="dcterms:W3CDTF">2022-04-02T06:25:12Z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F0DF63C60DD14296A2C6D3891E8F0C89</vt:lpwstr>
  </property>
  <property fmtid="{D5CDD505-2E9C-101B-9397-08002B2CF9AE}" pid="5" name="KSOProductBuildVer">
    <vt:lpwstr>2052-11.1.0.11365</vt:lpwstr>
  </property>
  <property fmtid="{D5CDD505-2E9C-101B-9397-08002B2CF9AE}" pid="6" name="LastSaved">
    <vt:filetime>2021-04-15T00:00:00Z</vt:filetime>
  </property>
</Properties>
</file>